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76748508" w:displacedByCustomXml="next"/>
    <w:bookmarkStart w:id="1" w:name="_Toc76739727" w:displacedByCustomXml="next"/>
    <w:sdt>
      <w:sdtPr>
        <w:rPr>
          <w:noProof/>
          <w:sz w:val="28"/>
          <w:szCs w:val="32"/>
        </w:rPr>
        <w:id w:val="-110626597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685F3205" w14:textId="77777777" w:rsidR="008E70E7" w:rsidRPr="00191D64" w:rsidRDefault="008E70E7" w:rsidP="008E70E7">
          <w:pPr>
            <w:rPr>
              <w:sz w:val="28"/>
              <w:szCs w:val="32"/>
            </w:rPr>
          </w:pPr>
          <w:r w:rsidRPr="00191D64">
            <w:rPr>
              <w:sz w:val="28"/>
              <w:szCs w:val="32"/>
            </w:rPr>
            <w:t>Obsah</w:t>
          </w:r>
          <w:bookmarkEnd w:id="1"/>
          <w:bookmarkEnd w:id="0"/>
        </w:p>
        <w:p w14:paraId="270EDE42" w14:textId="77777777" w:rsidR="008E70E7" w:rsidRDefault="008E70E7" w:rsidP="008E70E7">
          <w:pPr>
            <w:pStyle w:val="Obsah1"/>
            <w:tabs>
              <w:tab w:val="left" w:pos="44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r w:rsidRPr="009075D4">
            <w:rPr>
              <w:sz w:val="22"/>
            </w:rPr>
            <w:fldChar w:fldCharType="begin"/>
          </w:r>
          <w:r w:rsidRPr="009075D4">
            <w:rPr>
              <w:sz w:val="22"/>
            </w:rPr>
            <w:instrText xml:space="preserve"> TOC \o "1-3" \h \z \u </w:instrText>
          </w:r>
          <w:r w:rsidRPr="009075D4">
            <w:rPr>
              <w:sz w:val="22"/>
            </w:rPr>
            <w:fldChar w:fldCharType="separate"/>
          </w:r>
          <w:hyperlink w:anchor="_Toc210172462" w:history="1">
            <w:r w:rsidRPr="002A581E">
              <w:rPr>
                <w:rStyle w:val="Hypertextovodkaz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Úvod, řešené prostory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7147CC" w14:textId="77777777" w:rsidR="008E70E7" w:rsidRDefault="008E70E7" w:rsidP="008E70E7">
          <w:pPr>
            <w:pStyle w:val="Obsah2"/>
            <w:tabs>
              <w:tab w:val="left" w:pos="96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63" w:history="1">
            <w:r w:rsidRPr="002A581E">
              <w:rPr>
                <w:rStyle w:val="Hypertextovodkaz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Seznam norem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C0AF8" w14:textId="77777777" w:rsidR="008E70E7" w:rsidRDefault="008E70E7" w:rsidP="008E70E7">
          <w:pPr>
            <w:pStyle w:val="Obsah1"/>
            <w:tabs>
              <w:tab w:val="left" w:pos="44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64" w:history="1">
            <w:r w:rsidRPr="002A581E">
              <w:rPr>
                <w:rStyle w:val="Hypertextovodkaz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Audio řetězec a výkonové ozvučení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D85DD" w14:textId="77777777" w:rsidR="008E70E7" w:rsidRDefault="008E70E7" w:rsidP="008E70E7">
          <w:pPr>
            <w:pStyle w:val="Obsah2"/>
            <w:tabs>
              <w:tab w:val="left" w:pos="96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65" w:history="1">
            <w:r w:rsidRPr="002A581E">
              <w:rPr>
                <w:rStyle w:val="Hypertextovodkaz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Pracoviště obsluhy zvukové technologie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25565A" w14:textId="77777777" w:rsidR="008E70E7" w:rsidRDefault="008E70E7" w:rsidP="008E70E7">
          <w:pPr>
            <w:pStyle w:val="Obsah2"/>
            <w:tabs>
              <w:tab w:val="left" w:pos="96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66" w:history="1">
            <w:r w:rsidRPr="002A581E">
              <w:rPr>
                <w:rStyle w:val="Hypertextovodkaz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Výkonové ozvučení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6E7B6E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67" w:history="1">
            <w:r w:rsidRPr="002A581E">
              <w:rPr>
                <w:rStyle w:val="Hypertextovodkaz"/>
                <w:noProof/>
              </w:rPr>
              <w:t>2.2.1.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Technologické racky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228C4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68" w:history="1">
            <w:r w:rsidRPr="002A581E">
              <w:rPr>
                <w:rStyle w:val="Hypertextovodkaz"/>
                <w:noProof/>
              </w:rPr>
              <w:t>2.2.2.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Zavěšení a kotvení prvků zvukového systému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2C011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69" w:history="1">
            <w:r w:rsidRPr="002A581E">
              <w:rPr>
                <w:rStyle w:val="Hypertextovodkaz"/>
                <w:noProof/>
              </w:rPr>
              <w:t>2.2.3.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Odposlechové reprosoustavy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F3659" w14:textId="77777777" w:rsidR="008E70E7" w:rsidRDefault="008E70E7" w:rsidP="008E70E7">
          <w:pPr>
            <w:pStyle w:val="Obsah2"/>
            <w:tabs>
              <w:tab w:val="left" w:pos="96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0" w:history="1">
            <w:r w:rsidRPr="002A581E">
              <w:rPr>
                <w:rStyle w:val="Hypertextovodkaz"/>
                <w:noProof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Systém umělého řízení dozvuku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4DD02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1" w:history="1">
            <w:r w:rsidRPr="002A581E">
              <w:rPr>
                <w:rStyle w:val="Hypertextovodkaz"/>
                <w:noProof/>
              </w:rPr>
              <w:t>2.3.1.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Obecný popis systému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F660D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2" w:history="1">
            <w:r w:rsidRPr="002A581E">
              <w:rPr>
                <w:rStyle w:val="Hypertextovodkaz"/>
                <w:noProof/>
              </w:rPr>
              <w:t>2.3.2.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Části systému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ACFC7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3" w:history="1">
            <w:r w:rsidRPr="002A581E">
              <w:rPr>
                <w:rStyle w:val="Hypertextovodkaz"/>
                <w:noProof/>
              </w:rPr>
              <w:t>2.3.3.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Centrální jednotka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1AA9C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4" w:history="1">
            <w:r w:rsidRPr="002A581E">
              <w:rPr>
                <w:rStyle w:val="Hypertextovodkaz"/>
                <w:noProof/>
              </w:rPr>
              <w:t>2.3.4.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Reproduktorové soustavy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9AE7AE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5" w:history="1">
            <w:r w:rsidRPr="002A581E">
              <w:rPr>
                <w:rStyle w:val="Hypertextovodkaz"/>
                <w:noProof/>
              </w:rPr>
              <w:t>2.3.5.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Výkonové zesilovače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B6E336" w14:textId="77777777" w:rsidR="008E70E7" w:rsidRDefault="008E70E7" w:rsidP="008E70E7">
          <w:pPr>
            <w:pStyle w:val="Obsah3"/>
            <w:tabs>
              <w:tab w:val="left" w:pos="120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6" w:history="1">
            <w:r w:rsidRPr="002A581E">
              <w:rPr>
                <w:rStyle w:val="Hypertextovodkaz"/>
                <w:noProof/>
              </w:rPr>
              <w:t>2.3.6.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Využití v rámci řešeného prostoru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378920" w14:textId="77777777" w:rsidR="008E70E7" w:rsidRDefault="008E70E7" w:rsidP="008E70E7">
          <w:pPr>
            <w:pStyle w:val="Obsah1"/>
            <w:tabs>
              <w:tab w:val="left" w:pos="44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7" w:history="1">
            <w:r w:rsidRPr="002A581E">
              <w:rPr>
                <w:rStyle w:val="Hypertextovodkaz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Rozvody a kabelové trasy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469DE" w14:textId="77777777" w:rsidR="008E70E7" w:rsidRDefault="008E70E7" w:rsidP="008E70E7">
          <w:pPr>
            <w:pStyle w:val="Obsah2"/>
            <w:tabs>
              <w:tab w:val="left" w:pos="96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8" w:history="1">
            <w:r w:rsidRPr="002A581E">
              <w:rPr>
                <w:rStyle w:val="Hypertextovodkaz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Přípojná místa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E29F1" w14:textId="77777777" w:rsidR="008E70E7" w:rsidRDefault="008E70E7" w:rsidP="008E70E7">
          <w:pPr>
            <w:pStyle w:val="Obsah1"/>
            <w:tabs>
              <w:tab w:val="left" w:pos="440"/>
              <w:tab w:val="right" w:leader="dot" w:pos="97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bidi="ar-SA"/>
              <w14:ligatures w14:val="standardContextual"/>
            </w:rPr>
          </w:pPr>
          <w:hyperlink w:anchor="_Toc210172479" w:history="1">
            <w:r w:rsidRPr="002A581E">
              <w:rPr>
                <w:rStyle w:val="Hypertextovodkaz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bidi="ar-SA"/>
                <w14:ligatures w14:val="standardContextual"/>
              </w:rPr>
              <w:tab/>
            </w:r>
            <w:r w:rsidRPr="002A581E">
              <w:rPr>
                <w:rStyle w:val="Hypertextovodkaz"/>
                <w:noProof/>
              </w:rPr>
              <w:t>Závěr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_Toc210172479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8BB02F" w14:textId="77777777" w:rsidR="008E70E7" w:rsidRDefault="008E70E7" w:rsidP="008E70E7">
          <w:pPr>
            <w:pStyle w:val="Obsah"/>
            <w:spacing w:line="300" w:lineRule="exact"/>
            <w:rPr>
              <w:sz w:val="22"/>
            </w:rPr>
          </w:pPr>
          <w:r w:rsidRPr="009075D4">
            <w:rPr>
              <w:sz w:val="22"/>
            </w:rPr>
            <w:fldChar w:fldCharType="end"/>
          </w:r>
        </w:p>
      </w:sdtContent>
    </w:sdt>
    <w:p w14:paraId="0D96EB8D" w14:textId="77777777" w:rsidR="00731C0E" w:rsidRDefault="00731C0E"/>
    <w:p w14:paraId="3498B393" w14:textId="77777777" w:rsidR="00291803" w:rsidRDefault="00291803"/>
    <w:p w14:paraId="35CC6B62" w14:textId="77777777" w:rsidR="00291803" w:rsidRDefault="00291803"/>
    <w:p w14:paraId="054A4760" w14:textId="77777777" w:rsidR="00291803" w:rsidRDefault="00291803"/>
    <w:p w14:paraId="72872D9F" w14:textId="77777777" w:rsidR="00291803" w:rsidRDefault="00291803"/>
    <w:p w14:paraId="74A4A92C" w14:textId="77777777" w:rsidR="00291803" w:rsidRPr="00BC214A" w:rsidRDefault="00291803" w:rsidP="00291803">
      <w:pPr>
        <w:pStyle w:val="Nadpis1"/>
        <w:spacing w:before="0"/>
        <w:ind w:left="357" w:hanging="357"/>
      </w:pPr>
      <w:bookmarkStart w:id="2" w:name="_Toc210172462"/>
      <w:r w:rsidRPr="00BC214A">
        <w:lastRenderedPageBreak/>
        <w:t>Úvod, řešené prostory</w:t>
      </w:r>
      <w:bookmarkEnd w:id="2"/>
    </w:p>
    <w:p w14:paraId="6BFAFAA3" w14:textId="27036FE0" w:rsidR="00291803" w:rsidRPr="00BC214A" w:rsidRDefault="00291803" w:rsidP="00291803">
      <w:pPr>
        <w:spacing w:before="120"/>
      </w:pPr>
      <w:r w:rsidRPr="00BC214A">
        <w:t xml:space="preserve">Tato technická zpráva popisuje </w:t>
      </w:r>
      <w:r>
        <w:t>obnovu reprosoustavy</w:t>
      </w:r>
      <w:r w:rsidRPr="00BC214A">
        <w:t xml:space="preserve"> pro objekt Činoherní scény Městského divadla Brno. Vstupními podklady jsou architektonické výkresy, jednání s uživatelem/investorem.</w:t>
      </w:r>
    </w:p>
    <w:p w14:paraId="166E3096" w14:textId="77777777" w:rsidR="00291803" w:rsidRPr="00BC214A" w:rsidRDefault="00291803" w:rsidP="00291803">
      <w:pPr>
        <w:spacing w:line="360" w:lineRule="auto"/>
      </w:pPr>
      <w:r w:rsidRPr="00BC214A">
        <w:t xml:space="preserve">Projekt obsahuje tyto části: </w:t>
      </w:r>
    </w:p>
    <w:p w14:paraId="1C4A973A" w14:textId="77777777" w:rsidR="00291803" w:rsidRPr="00BC214A" w:rsidRDefault="00291803" w:rsidP="00291803">
      <w:pPr>
        <w:pStyle w:val="Odstavecseseznamem"/>
        <w:numPr>
          <w:ilvl w:val="0"/>
          <w:numId w:val="1"/>
        </w:numPr>
        <w:autoSpaceDE/>
        <w:autoSpaceDN/>
        <w:spacing w:before="0" w:after="240" w:line="360" w:lineRule="auto"/>
      </w:pPr>
      <w:r w:rsidRPr="00BC214A">
        <w:t>Přípojná místa zvukové technologie</w:t>
      </w:r>
    </w:p>
    <w:p w14:paraId="74985067" w14:textId="77777777" w:rsidR="00291803" w:rsidRPr="00BC214A" w:rsidRDefault="00291803" w:rsidP="00291803">
      <w:pPr>
        <w:pStyle w:val="Odstavecseseznamem"/>
        <w:numPr>
          <w:ilvl w:val="0"/>
          <w:numId w:val="1"/>
        </w:numPr>
        <w:autoSpaceDE/>
        <w:autoSpaceDN/>
        <w:spacing w:after="240" w:line="360" w:lineRule="auto"/>
      </w:pPr>
      <w:r w:rsidRPr="00BC214A">
        <w:t xml:space="preserve">Výkonové ozvučení </w:t>
      </w:r>
    </w:p>
    <w:p w14:paraId="12517270" w14:textId="77777777" w:rsidR="00291803" w:rsidRPr="00BC214A" w:rsidRDefault="00291803" w:rsidP="00291803">
      <w:pPr>
        <w:pStyle w:val="Odstavecseseznamem"/>
        <w:numPr>
          <w:ilvl w:val="0"/>
          <w:numId w:val="1"/>
        </w:numPr>
        <w:autoSpaceDE/>
        <w:autoSpaceDN/>
        <w:spacing w:before="120" w:after="240" w:line="360" w:lineRule="auto"/>
      </w:pPr>
      <w:r w:rsidRPr="00BC214A">
        <w:t>AV rozvody</w:t>
      </w:r>
    </w:p>
    <w:p w14:paraId="599FDF45" w14:textId="77777777" w:rsidR="00291803" w:rsidRPr="00F94B82" w:rsidRDefault="00291803" w:rsidP="00291803">
      <w:pPr>
        <w:pStyle w:val="Nadpis1"/>
      </w:pPr>
      <w:bookmarkStart w:id="3" w:name="_Toc210172463"/>
      <w:r w:rsidRPr="00F94B82">
        <w:t>Seznam norem</w:t>
      </w:r>
      <w:bookmarkEnd w:id="3"/>
    </w:p>
    <w:p w14:paraId="654536D3" w14:textId="77777777" w:rsidR="00291803" w:rsidRPr="005957B5" w:rsidRDefault="00291803" w:rsidP="00291803">
      <w:r w:rsidRPr="005957B5">
        <w:t>ČSN 33 1500 - Elektrotechnické předpisy. Revize elektrických zařízení</w:t>
      </w:r>
    </w:p>
    <w:p w14:paraId="2B5537E9" w14:textId="77777777" w:rsidR="00291803" w:rsidRDefault="00291803" w:rsidP="00291803">
      <w:r w:rsidRPr="00BA1C49">
        <w:t xml:space="preserve">ČSN 33 2000-1 </w:t>
      </w:r>
      <w:proofErr w:type="spellStart"/>
      <w:r w:rsidRPr="00BA1C49">
        <w:t>ed</w:t>
      </w:r>
      <w:proofErr w:type="spellEnd"/>
      <w:r w:rsidRPr="00BA1C49">
        <w:t xml:space="preserve">. 2 Elektrické instalace nízkého </w:t>
      </w:r>
      <w:proofErr w:type="gramStart"/>
      <w:r w:rsidRPr="00BA1C49">
        <w:t>napětí - Část</w:t>
      </w:r>
      <w:proofErr w:type="gramEnd"/>
      <w:r w:rsidRPr="00BA1C49">
        <w:t xml:space="preserve"> 1: Základní hlediska, stanovení základních charakteristik, definice</w:t>
      </w:r>
    </w:p>
    <w:p w14:paraId="7F4EB7C3" w14:textId="77777777" w:rsidR="00291803" w:rsidRPr="009F51FD" w:rsidRDefault="00291803" w:rsidP="00291803">
      <w:r w:rsidRPr="009F51FD">
        <w:t xml:space="preserve">ČSN 33 2000-4-41 </w:t>
      </w:r>
      <w:proofErr w:type="spellStart"/>
      <w:r w:rsidRPr="009F51FD">
        <w:t>ed</w:t>
      </w:r>
      <w:proofErr w:type="spellEnd"/>
      <w:r w:rsidRPr="009F51FD">
        <w:t xml:space="preserve">. 3 Elektrické instalace nízkého </w:t>
      </w:r>
      <w:proofErr w:type="gramStart"/>
      <w:r w:rsidRPr="009F51FD">
        <w:t>napětí - Část</w:t>
      </w:r>
      <w:proofErr w:type="gramEnd"/>
      <w:r w:rsidRPr="009F51FD">
        <w:t xml:space="preserve"> 4-41: Ochranná opatření pro zajištění </w:t>
      </w:r>
      <w:proofErr w:type="gramStart"/>
      <w:r w:rsidRPr="009F51FD">
        <w:t>bezpečnosti - Ochrana</w:t>
      </w:r>
      <w:proofErr w:type="gramEnd"/>
      <w:r w:rsidRPr="009F51FD">
        <w:t xml:space="preserve"> před úrazem elektrickým proudem</w:t>
      </w:r>
    </w:p>
    <w:p w14:paraId="09ECB70B" w14:textId="77777777" w:rsidR="00291803" w:rsidRDefault="00291803" w:rsidP="00291803">
      <w:r w:rsidRPr="009F51FD">
        <w:t xml:space="preserve">ČSN 33 2000-4-43 </w:t>
      </w:r>
      <w:proofErr w:type="spellStart"/>
      <w:r w:rsidRPr="009F51FD">
        <w:t>ed</w:t>
      </w:r>
      <w:proofErr w:type="spellEnd"/>
      <w:r w:rsidRPr="009F51FD">
        <w:t xml:space="preserve">. 2 Elektrické instalace nízkého </w:t>
      </w:r>
      <w:proofErr w:type="gramStart"/>
      <w:r w:rsidRPr="009F51FD">
        <w:t>napětí - Část</w:t>
      </w:r>
      <w:proofErr w:type="gramEnd"/>
      <w:r w:rsidRPr="009F51FD">
        <w:t xml:space="preserve"> 4-43: </w:t>
      </w:r>
      <w:proofErr w:type="gramStart"/>
      <w:r w:rsidRPr="009F51FD">
        <w:t>Bezpečnost - Ochrana</w:t>
      </w:r>
      <w:proofErr w:type="gramEnd"/>
      <w:r w:rsidRPr="009F51FD">
        <w:t xml:space="preserve"> před nadproudy</w:t>
      </w:r>
    </w:p>
    <w:p w14:paraId="5936D692" w14:textId="77777777" w:rsidR="00291803" w:rsidRPr="009F51FD" w:rsidRDefault="00291803" w:rsidP="00291803">
      <w:r w:rsidRPr="009F51FD">
        <w:t>ČSN 33 2000-4-444 Elektrické instalace nízkého napětí – Část 4-444: Bezpečnost – Ochrana před napěťovým a elektromagnetickým rušením</w:t>
      </w:r>
    </w:p>
    <w:p w14:paraId="27D27402" w14:textId="77777777" w:rsidR="00291803" w:rsidRPr="009F51FD" w:rsidRDefault="00291803" w:rsidP="00291803">
      <w:r w:rsidRPr="009F51FD">
        <w:t xml:space="preserve">ČSN 33 2000-5-51 </w:t>
      </w:r>
      <w:proofErr w:type="spellStart"/>
      <w:r w:rsidRPr="009F51FD">
        <w:t>ed</w:t>
      </w:r>
      <w:proofErr w:type="spellEnd"/>
      <w:r w:rsidRPr="009F51FD">
        <w:t xml:space="preserve">. 3 Elektrické instalace nízkého </w:t>
      </w:r>
      <w:proofErr w:type="gramStart"/>
      <w:r w:rsidRPr="009F51FD">
        <w:t>napětí - Část</w:t>
      </w:r>
      <w:proofErr w:type="gramEnd"/>
      <w:r w:rsidRPr="009F51FD">
        <w:t xml:space="preserve"> 5-51: Výběr a stavba elektrických zařízení – Všeobecné předpisy</w:t>
      </w:r>
    </w:p>
    <w:p w14:paraId="4FB949D1" w14:textId="77777777" w:rsidR="00291803" w:rsidRDefault="00291803" w:rsidP="00291803">
      <w:r w:rsidRPr="005957B5">
        <w:t xml:space="preserve">ČSN 33 2000-5-52 ed.2 Elektrické instalace nízkého </w:t>
      </w:r>
      <w:proofErr w:type="gramStart"/>
      <w:r w:rsidRPr="005957B5">
        <w:t>napětí - Část</w:t>
      </w:r>
      <w:proofErr w:type="gramEnd"/>
      <w:r w:rsidRPr="005957B5">
        <w:t xml:space="preserve"> 5-52: Výběr a stavba elektrických zařízení – Elektrická vedení</w:t>
      </w:r>
    </w:p>
    <w:p w14:paraId="1251AFA5" w14:textId="77777777" w:rsidR="00291803" w:rsidRPr="009F51FD" w:rsidRDefault="00291803" w:rsidP="00291803">
      <w:r w:rsidRPr="009F51FD">
        <w:t>ČSN 34 2300 ed.2 Předpisy pro vnitřní rozvody vedení elektronických komunikací</w:t>
      </w:r>
    </w:p>
    <w:p w14:paraId="62CC02D0" w14:textId="77777777" w:rsidR="00291803" w:rsidRDefault="00291803" w:rsidP="00291803">
      <w:r>
        <w:t xml:space="preserve">ČSN EN 50174-1 ed.3 Informační </w:t>
      </w:r>
      <w:proofErr w:type="gramStart"/>
      <w:r>
        <w:t>technologie - Instalace</w:t>
      </w:r>
      <w:proofErr w:type="gramEnd"/>
      <w:r>
        <w:t xml:space="preserve"> kabelových </w:t>
      </w:r>
      <w:proofErr w:type="gramStart"/>
      <w:r>
        <w:t>rozvodů - Část</w:t>
      </w:r>
      <w:proofErr w:type="gramEnd"/>
      <w:r>
        <w:t xml:space="preserve"> 1: Specifikace a zabezpečení kvality.</w:t>
      </w:r>
    </w:p>
    <w:p w14:paraId="4794D668" w14:textId="77777777" w:rsidR="00291803" w:rsidRDefault="00291803" w:rsidP="00291803">
      <w:r w:rsidRPr="00A53F8E">
        <w:t>ČSN EN 50174-2</w:t>
      </w:r>
      <w:r>
        <w:t xml:space="preserve"> </w:t>
      </w:r>
      <w:r w:rsidRPr="00A53F8E">
        <w:t xml:space="preserve">ed.3 Informační </w:t>
      </w:r>
      <w:proofErr w:type="gramStart"/>
      <w:r w:rsidRPr="00A53F8E">
        <w:t>technologie - Instalace</w:t>
      </w:r>
      <w:proofErr w:type="gramEnd"/>
      <w:r w:rsidRPr="00A53F8E">
        <w:t xml:space="preserve"> kabelových </w:t>
      </w:r>
      <w:proofErr w:type="gramStart"/>
      <w:r w:rsidRPr="00A53F8E">
        <w:t>rozvodů - Část</w:t>
      </w:r>
      <w:proofErr w:type="gramEnd"/>
      <w:r w:rsidRPr="00A53F8E">
        <w:t xml:space="preserve"> 2: Projektová příprava a výstavba v budovách.</w:t>
      </w:r>
    </w:p>
    <w:p w14:paraId="33F21C63" w14:textId="77777777" w:rsidR="00291803" w:rsidRDefault="00291803" w:rsidP="00291803">
      <w:r w:rsidRPr="00A53F8E">
        <w:t>ČSN EN 50174-3</w:t>
      </w:r>
      <w:r>
        <w:t xml:space="preserve"> </w:t>
      </w:r>
      <w:r w:rsidRPr="00A53F8E">
        <w:t>ed.2</w:t>
      </w:r>
      <w:r>
        <w:t xml:space="preserve"> Informační </w:t>
      </w:r>
      <w:proofErr w:type="gramStart"/>
      <w:r>
        <w:t>technologie - Instalace</w:t>
      </w:r>
      <w:proofErr w:type="gramEnd"/>
      <w:r>
        <w:t xml:space="preserve"> kabelových </w:t>
      </w:r>
      <w:proofErr w:type="gramStart"/>
      <w:r>
        <w:t>rozvodů - Část</w:t>
      </w:r>
      <w:proofErr w:type="gramEnd"/>
      <w:r>
        <w:t xml:space="preserve"> 3: Projektová příprava a výstavba vně budov.</w:t>
      </w:r>
    </w:p>
    <w:p w14:paraId="6A37DC2D" w14:textId="77777777" w:rsidR="00291803" w:rsidRDefault="00291803" w:rsidP="00291803">
      <w:r>
        <w:t>ČSN EN 50310 ed.</w:t>
      </w:r>
      <w:proofErr w:type="gramStart"/>
      <w:r>
        <w:t>4  Soustavy</w:t>
      </w:r>
      <w:proofErr w:type="gramEnd"/>
      <w:r>
        <w:t xml:space="preserve"> pospojování pro telekomunikace v budovách a jiných stavbách</w:t>
      </w:r>
    </w:p>
    <w:p w14:paraId="361E0112" w14:textId="77777777" w:rsidR="00291803" w:rsidRDefault="00291803"/>
    <w:p w14:paraId="38233094" w14:textId="77777777" w:rsidR="00291803" w:rsidRPr="00AF3F2F" w:rsidRDefault="00291803" w:rsidP="00291803">
      <w:r w:rsidRPr="00AF3F2F">
        <w:lastRenderedPageBreak/>
        <w:t>ČSN EN 50110-1 ed.3 – Obsluha a práce na elektrických zařízeních – Část 1: Obecné požadavky</w:t>
      </w:r>
    </w:p>
    <w:p w14:paraId="390B81B9" w14:textId="77777777" w:rsidR="00291803" w:rsidRPr="00AF3F2F" w:rsidRDefault="00291803" w:rsidP="00291803">
      <w:r w:rsidRPr="00AF3F2F">
        <w:t xml:space="preserve">ČSN EN 50110-2 </w:t>
      </w:r>
      <w:proofErr w:type="spellStart"/>
      <w:r w:rsidRPr="00AF3F2F">
        <w:t>ed</w:t>
      </w:r>
      <w:proofErr w:type="spellEnd"/>
      <w:r w:rsidRPr="00AF3F2F">
        <w:t>. 2 –</w:t>
      </w:r>
      <w:r w:rsidRPr="00AF3F2F">
        <w:tab/>
        <w:t>Obsluha a práce na elektrických zařízeních – Část 2: Národní dodatky</w:t>
      </w:r>
    </w:p>
    <w:p w14:paraId="097C5586" w14:textId="77777777" w:rsidR="00291803" w:rsidRPr="00AF3F2F" w:rsidRDefault="00291803" w:rsidP="00291803">
      <w:r w:rsidRPr="00AF3F2F">
        <w:t>ČSN 73 0848 – Požární bezpečnost staveb – Kabelové rozvody</w:t>
      </w:r>
    </w:p>
    <w:p w14:paraId="01E9BBD1" w14:textId="77777777" w:rsidR="00291803" w:rsidRPr="00AF3F2F" w:rsidRDefault="00291803" w:rsidP="00291803">
      <w:r w:rsidRPr="00AF3F2F">
        <w:t>ČSN 73 0525 – Akustika – Projektování v oboru prostorové akustiky – Všeobecné zásady, 1998.</w:t>
      </w:r>
    </w:p>
    <w:p w14:paraId="7ED6F4FF" w14:textId="77777777" w:rsidR="00291803" w:rsidRPr="00AF3F2F" w:rsidRDefault="00291803" w:rsidP="00291803">
      <w:r w:rsidRPr="00AF3F2F">
        <w:t>ČSN 73 0527 – Akustika – Projektování v oboru prostorové akustiky – Prostory pro kulturní účely – Prostory ve školách – Prostory pro veřejné účely, 2005.</w:t>
      </w:r>
    </w:p>
    <w:p w14:paraId="1781E40F" w14:textId="77777777" w:rsidR="00291803" w:rsidRPr="00AF3F2F" w:rsidRDefault="00291803" w:rsidP="00291803">
      <w:r w:rsidRPr="00AF3F2F">
        <w:t>ČSN EN 60268-16 – Elektroakustická zařízení – Část 16: Objektivní hodnocení srozumitelnosti řeči indexem přenosu řeči, Český normalizační institut 2012.</w:t>
      </w:r>
    </w:p>
    <w:p w14:paraId="6D16E2F2" w14:textId="77777777" w:rsidR="00291803" w:rsidRDefault="00291803" w:rsidP="00291803">
      <w:r w:rsidRPr="009F51FD">
        <w:t>ČSN EN 50849, Nouzové zvukové systémy, Český normalizační institut 2017.</w:t>
      </w:r>
    </w:p>
    <w:p w14:paraId="220D5367" w14:textId="77777777" w:rsidR="00291803" w:rsidRDefault="00291803" w:rsidP="00291803">
      <w:pPr>
        <w:widowControl w:val="0"/>
        <w:spacing w:before="0" w:line="240" w:lineRule="auto"/>
        <w:jc w:val="left"/>
        <w:rPr>
          <w:sz w:val="28"/>
          <w:szCs w:val="28"/>
        </w:rPr>
      </w:pPr>
      <w:r>
        <w:br w:type="page"/>
      </w:r>
    </w:p>
    <w:p w14:paraId="120DDD0E" w14:textId="77777777" w:rsidR="00291803" w:rsidRDefault="00291803" w:rsidP="00291803">
      <w:pPr>
        <w:pStyle w:val="Nadpis1"/>
        <w:ind w:left="340" w:hanging="340"/>
      </w:pPr>
      <w:r w:rsidRPr="00BC214A">
        <w:lastRenderedPageBreak/>
        <w:t>Audio řetězec a výkonové ozvučení</w:t>
      </w:r>
    </w:p>
    <w:p w14:paraId="38E60FB8" w14:textId="77777777" w:rsidR="00291803" w:rsidRPr="00BC214A" w:rsidRDefault="00291803" w:rsidP="00291803">
      <w:pPr>
        <w:pStyle w:val="Nadpis2"/>
      </w:pPr>
      <w:bookmarkStart w:id="4" w:name="_Toc210172466"/>
      <w:r w:rsidRPr="00BC214A">
        <w:t>Výkonové ozvučení</w:t>
      </w:r>
      <w:bookmarkEnd w:id="4"/>
    </w:p>
    <w:p w14:paraId="6CF5D112" w14:textId="77777777" w:rsidR="00291803" w:rsidRPr="00BC214A" w:rsidRDefault="00291803" w:rsidP="00291803">
      <w:r w:rsidRPr="00BC214A">
        <w:t xml:space="preserve">Návrh hlavního výkonového ozvučení se skládá ze stereofonního systému </w:t>
      </w:r>
      <w:r>
        <w:t xml:space="preserve">typu </w:t>
      </w:r>
      <w:r w:rsidRPr="00BC214A">
        <w:t>line-</w:t>
      </w:r>
      <w:proofErr w:type="spellStart"/>
      <w:r w:rsidRPr="00BC214A">
        <w:t>array</w:t>
      </w:r>
      <w:proofErr w:type="spellEnd"/>
      <w:r w:rsidRPr="00BC214A">
        <w:t>, vykrývacích reprosoustav pro přední řady (v čele orchestřiště, tzv. front-</w:t>
      </w:r>
      <w:proofErr w:type="spellStart"/>
      <w:r w:rsidRPr="00BC214A">
        <w:t>fill</w:t>
      </w:r>
      <w:proofErr w:type="spellEnd"/>
      <w:r w:rsidRPr="00BC214A">
        <w:t>), vykrývacích reprosoustav pro zadní část hlediště (</w:t>
      </w:r>
      <w:proofErr w:type="spellStart"/>
      <w:r w:rsidRPr="00BC214A">
        <w:t>delay-fill</w:t>
      </w:r>
      <w:proofErr w:type="spellEnd"/>
      <w:r w:rsidRPr="00BC214A">
        <w:t xml:space="preserve">) a subwooferů. </w:t>
      </w:r>
    </w:p>
    <w:p w14:paraId="2D628777" w14:textId="77777777" w:rsidR="00291803" w:rsidRPr="00BC214A" w:rsidRDefault="00291803" w:rsidP="00291803">
      <w:r w:rsidRPr="00BC214A">
        <w:t xml:space="preserve">Hlavním prvkem návrhu výkonového ozvučení je dvojice klastrů, umístěných </w:t>
      </w:r>
      <w:r>
        <w:t>po stranách portálového okna ve</w:t>
      </w:r>
      <w:r w:rsidRPr="00BC214A">
        <w:t xml:space="preserve"> výšce cca 7 m od úrovně jeviště, který zvukově pokrývá divácká místa v hledišti a na bočních balkónech. </w:t>
      </w:r>
    </w:p>
    <w:p w14:paraId="37F3B7AC" w14:textId="77777777" w:rsidR="00291803" w:rsidRDefault="00291803" w:rsidP="00291803">
      <w:r w:rsidRPr="00156BBC">
        <w:rPr>
          <w:noProof/>
        </w:rPr>
        <w:drawing>
          <wp:anchor distT="0" distB="0" distL="114300" distR="114300" simplePos="0" relativeHeight="251659264" behindDoc="0" locked="0" layoutInCell="1" allowOverlap="1" wp14:anchorId="05518997" wp14:editId="241812AA">
            <wp:simplePos x="0" y="0"/>
            <wp:positionH relativeFrom="margin">
              <wp:align>center</wp:align>
            </wp:positionH>
            <wp:positionV relativeFrom="paragraph">
              <wp:posOffset>923941</wp:posOffset>
            </wp:positionV>
            <wp:extent cx="4409440" cy="2907665"/>
            <wp:effectExtent l="0" t="0" r="0" b="6985"/>
            <wp:wrapTopAndBottom/>
            <wp:docPr id="56707685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076855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9440" cy="2907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214A">
        <w:t>Pro zlepšení pokrytí předních řad přízemí byl návrh systému rozšířen o sestavu vykrývacích front-</w:t>
      </w:r>
      <w:proofErr w:type="spellStart"/>
      <w:r w:rsidRPr="00BC214A">
        <w:t>fill</w:t>
      </w:r>
      <w:proofErr w:type="spellEnd"/>
      <w:r w:rsidRPr="00BC214A">
        <w:t xml:space="preserve"> reprosoustav, umístěných na přední hraně orchestřiště. Tato soustava zlepšuje pokrytí předních řad především na vysokých frekvencích a zlepšuje lokalizaci zdrojů zvuku.</w:t>
      </w:r>
    </w:p>
    <w:p w14:paraId="1BDA1A5A" w14:textId="77777777" w:rsidR="00291803" w:rsidRPr="00BA1C0A" w:rsidRDefault="00291803" w:rsidP="00291803">
      <w:pPr>
        <w:jc w:val="center"/>
        <w:rPr>
          <w:i/>
          <w:iCs/>
        </w:rPr>
      </w:pPr>
      <w:r w:rsidRPr="00BA1C0A">
        <w:rPr>
          <w:i/>
          <w:iCs/>
        </w:rPr>
        <w:t xml:space="preserve">Obrázek 1: Elektroakustická simulace pokrytí hlediště signálem výkonového ozvučení (hlavní </w:t>
      </w:r>
      <w:proofErr w:type="spellStart"/>
      <w:r w:rsidRPr="00BA1C0A">
        <w:rPr>
          <w:i/>
          <w:iCs/>
        </w:rPr>
        <w:t>klastery</w:t>
      </w:r>
      <w:proofErr w:type="spellEnd"/>
      <w:r w:rsidRPr="00BA1C0A">
        <w:rPr>
          <w:i/>
          <w:iCs/>
        </w:rPr>
        <w:t>, front-</w:t>
      </w:r>
      <w:proofErr w:type="spellStart"/>
      <w:r w:rsidRPr="00BA1C0A">
        <w:rPr>
          <w:i/>
          <w:iCs/>
        </w:rPr>
        <w:t>fill</w:t>
      </w:r>
      <w:proofErr w:type="spellEnd"/>
      <w:r w:rsidRPr="00BA1C0A">
        <w:rPr>
          <w:i/>
          <w:iCs/>
        </w:rPr>
        <w:t xml:space="preserve"> a </w:t>
      </w:r>
      <w:proofErr w:type="spellStart"/>
      <w:r w:rsidRPr="00BA1C0A">
        <w:rPr>
          <w:i/>
          <w:iCs/>
        </w:rPr>
        <w:t>delay-fill</w:t>
      </w:r>
      <w:proofErr w:type="spellEnd"/>
      <w:r w:rsidRPr="00BA1C0A">
        <w:rPr>
          <w:i/>
          <w:iCs/>
        </w:rPr>
        <w:t>). Frekvenční rozsah signálu 4 kHz – 5 kHz</w:t>
      </w:r>
      <w:r>
        <w:rPr>
          <w:i/>
          <w:iCs/>
        </w:rPr>
        <w:t>,</w:t>
      </w:r>
      <w:r w:rsidRPr="00BA1C0A">
        <w:rPr>
          <w:i/>
          <w:iCs/>
        </w:rPr>
        <w:t xml:space="preserve"> 3</w:t>
      </w:r>
      <w:r>
        <w:rPr>
          <w:i/>
          <w:iCs/>
        </w:rPr>
        <w:t xml:space="preserve"> </w:t>
      </w:r>
      <w:r w:rsidRPr="00BA1C0A">
        <w:rPr>
          <w:i/>
          <w:iCs/>
        </w:rPr>
        <w:t>dB/barva.</w:t>
      </w:r>
    </w:p>
    <w:p w14:paraId="1931B282" w14:textId="77777777" w:rsidR="00291803" w:rsidRPr="00BC214A" w:rsidRDefault="00291803" w:rsidP="00291803">
      <w:r w:rsidRPr="00BC214A">
        <w:t xml:space="preserve">Tři reprosoustavy </w:t>
      </w:r>
      <w:proofErr w:type="spellStart"/>
      <w:r w:rsidRPr="00BC214A">
        <w:t>delay-fill</w:t>
      </w:r>
      <w:proofErr w:type="spellEnd"/>
      <w:r w:rsidRPr="00BC214A">
        <w:t xml:space="preserve"> zajišťují lepší pokrytí zadní části hlediště a kabiny zvukařů. Tyto reprosoustavy budou zavěšeny na stropním podhledu ve vzdálenosti cca 12 metrů od hrany podia. </w:t>
      </w:r>
    </w:p>
    <w:p w14:paraId="2299E777" w14:textId="77777777" w:rsidR="00291803" w:rsidRDefault="00291803" w:rsidP="00291803">
      <w:r w:rsidRPr="00BC214A">
        <w:t>Návrh systému výkonového ozvučení je doplněn o dvě soustavy subwooferů, které zlepšují účinnost systému na nízkých kmitočtech. Tyto reprosoustavy jsou umístěny za levým a pravým clusterem</w:t>
      </w:r>
      <w:r>
        <w:t xml:space="preserve">. Alternativně lze subwoofery instalovat jako jeden centrální cluster v prostoru akustické čočky nebo mezi čočkou a portálovým oknem – tuto možnost je nutné konzultovat s investorem. </w:t>
      </w:r>
    </w:p>
    <w:p w14:paraId="26F31182" w14:textId="77777777" w:rsidR="00291803" w:rsidRDefault="00291803"/>
    <w:p w14:paraId="249774C8" w14:textId="77777777" w:rsidR="00291803" w:rsidRDefault="00291803"/>
    <w:p w14:paraId="56855E5A" w14:textId="77777777" w:rsidR="00291803" w:rsidRPr="00BA1C0A" w:rsidRDefault="00291803" w:rsidP="00291803">
      <w:pPr>
        <w:jc w:val="center"/>
        <w:rPr>
          <w:i/>
          <w:iCs/>
        </w:rPr>
      </w:pPr>
      <w:r w:rsidRPr="00156BBC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648659D" wp14:editId="226EF182">
            <wp:simplePos x="0" y="0"/>
            <wp:positionH relativeFrom="margin">
              <wp:posOffset>673663</wp:posOffset>
            </wp:positionH>
            <wp:positionV relativeFrom="paragraph">
              <wp:posOffset>0</wp:posOffset>
            </wp:positionV>
            <wp:extent cx="4849495" cy="3241040"/>
            <wp:effectExtent l="0" t="0" r="8255" b="0"/>
            <wp:wrapTopAndBottom/>
            <wp:docPr id="209561972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61972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9495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1C0A">
        <w:rPr>
          <w:i/>
          <w:iCs/>
        </w:rPr>
        <w:t xml:space="preserve">Obrázek </w:t>
      </w:r>
      <w:r>
        <w:rPr>
          <w:i/>
          <w:iCs/>
        </w:rPr>
        <w:t>2</w:t>
      </w:r>
      <w:r w:rsidRPr="00BA1C0A">
        <w:rPr>
          <w:i/>
          <w:iCs/>
        </w:rPr>
        <w:t xml:space="preserve">: Elektroakustická simulace pokrytí hlediště signálem </w:t>
      </w:r>
      <w:r>
        <w:rPr>
          <w:i/>
          <w:iCs/>
        </w:rPr>
        <w:t xml:space="preserve">nízkofrekvenčních prvků </w:t>
      </w:r>
      <w:r w:rsidRPr="00BA1C0A">
        <w:rPr>
          <w:i/>
          <w:iCs/>
        </w:rPr>
        <w:t>výkonového ozvučení (</w:t>
      </w:r>
      <w:r>
        <w:rPr>
          <w:i/>
          <w:iCs/>
        </w:rPr>
        <w:t>subwoofery</w:t>
      </w:r>
      <w:r w:rsidRPr="00BA1C0A">
        <w:rPr>
          <w:i/>
          <w:iCs/>
        </w:rPr>
        <w:t xml:space="preserve">). Frekvenční rozsah signálu </w:t>
      </w:r>
      <w:r>
        <w:rPr>
          <w:i/>
          <w:iCs/>
        </w:rPr>
        <w:t>32</w:t>
      </w:r>
      <w:r w:rsidRPr="00BA1C0A">
        <w:rPr>
          <w:i/>
          <w:iCs/>
        </w:rPr>
        <w:t xml:space="preserve"> Hz – </w:t>
      </w:r>
      <w:r>
        <w:rPr>
          <w:i/>
          <w:iCs/>
        </w:rPr>
        <w:t>80</w:t>
      </w:r>
      <w:r w:rsidRPr="00BA1C0A">
        <w:rPr>
          <w:i/>
          <w:iCs/>
        </w:rPr>
        <w:t xml:space="preserve"> </w:t>
      </w:r>
      <w:r>
        <w:rPr>
          <w:i/>
          <w:iCs/>
        </w:rPr>
        <w:t>H</w:t>
      </w:r>
      <w:r w:rsidRPr="00BA1C0A">
        <w:rPr>
          <w:i/>
          <w:iCs/>
        </w:rPr>
        <w:t>z</w:t>
      </w:r>
      <w:r>
        <w:rPr>
          <w:i/>
          <w:iCs/>
        </w:rPr>
        <w:t>,</w:t>
      </w:r>
      <w:r w:rsidRPr="00BA1C0A">
        <w:rPr>
          <w:i/>
          <w:iCs/>
        </w:rPr>
        <w:t xml:space="preserve"> 3</w:t>
      </w:r>
      <w:r>
        <w:rPr>
          <w:i/>
          <w:iCs/>
        </w:rPr>
        <w:t xml:space="preserve"> </w:t>
      </w:r>
      <w:r w:rsidRPr="00BA1C0A">
        <w:rPr>
          <w:i/>
          <w:iCs/>
        </w:rPr>
        <w:t>dB/barva.</w:t>
      </w:r>
    </w:p>
    <w:p w14:paraId="558189A5" w14:textId="77777777" w:rsidR="00291803" w:rsidRPr="00BA3688" w:rsidRDefault="00291803" w:rsidP="00291803">
      <w:pPr>
        <w:pStyle w:val="Nadpis3"/>
      </w:pPr>
      <w:bookmarkStart w:id="5" w:name="_Toc210172468"/>
      <w:r w:rsidRPr="00BA3688">
        <w:t>Zavěšení a kotvení prvků zvukového systému</w:t>
      </w:r>
      <w:bookmarkEnd w:id="5"/>
    </w:p>
    <w:p w14:paraId="658A6ECF" w14:textId="77777777" w:rsidR="00291803" w:rsidRDefault="00291803" w:rsidP="00291803">
      <w:pPr>
        <w:spacing w:before="120"/>
        <w:rPr>
          <w:szCs w:val="20"/>
        </w:rPr>
      </w:pPr>
      <w:r w:rsidRPr="00BA3688">
        <w:rPr>
          <w:szCs w:val="20"/>
        </w:rPr>
        <w:t>Zavě</w:t>
      </w:r>
      <w:r w:rsidRPr="00BA3688">
        <w:rPr>
          <w:rFonts w:cs="Times New Roman"/>
          <w:szCs w:val="20"/>
        </w:rPr>
        <w:t>š</w:t>
      </w:r>
      <w:r w:rsidRPr="00BA3688">
        <w:rPr>
          <w:szCs w:val="20"/>
        </w:rPr>
        <w:t>e</w:t>
      </w:r>
      <w:r w:rsidRPr="00BA3688">
        <w:rPr>
          <w:rFonts w:cs="Times New Roman"/>
          <w:szCs w:val="20"/>
        </w:rPr>
        <w:t>n</w:t>
      </w:r>
      <w:r w:rsidRPr="00BA3688">
        <w:rPr>
          <w:szCs w:val="20"/>
        </w:rPr>
        <w:t xml:space="preserve">í reprosoustav bude systémové, umožňovat úhlování klastrů a bude vyhovovat příslušným bezpečnostním certifikátům (bezpečnostní norma BGV-C1). To platí i pro vykrývací reprosoustavy. </w:t>
      </w:r>
    </w:p>
    <w:p w14:paraId="0AC9DC4F" w14:textId="77777777" w:rsidR="00291803" w:rsidRDefault="00291803" w:rsidP="00291803">
      <w:pPr>
        <w:pStyle w:val="Nadpis3"/>
        <w:numPr>
          <w:ilvl w:val="2"/>
          <w:numId w:val="0"/>
        </w:numPr>
        <w:tabs>
          <w:tab w:val="num" w:pos="360"/>
        </w:tabs>
      </w:pPr>
      <w:proofErr w:type="spellStart"/>
      <w:r>
        <w:t>Surround</w:t>
      </w:r>
      <w:proofErr w:type="spellEnd"/>
      <w:r>
        <w:t xml:space="preserve"> reprosoustavy</w:t>
      </w:r>
    </w:p>
    <w:p w14:paraId="7D1585C2" w14:textId="77777777" w:rsidR="00291803" w:rsidRPr="000E6906" w:rsidRDefault="00291803" w:rsidP="00291803">
      <w:r>
        <w:t xml:space="preserve">Součástí výkonového ozvučení bude sada osmi </w:t>
      </w:r>
      <w:proofErr w:type="spellStart"/>
      <w:r>
        <w:t>surround</w:t>
      </w:r>
      <w:proofErr w:type="spellEnd"/>
      <w:r>
        <w:t xml:space="preserve"> reprosoustav umístěných na bočních stěnách a na zadní stěně. </w:t>
      </w:r>
      <w:proofErr w:type="spellStart"/>
      <w:r>
        <w:t>Surround</w:t>
      </w:r>
      <w:proofErr w:type="spellEnd"/>
      <w:r>
        <w:t xml:space="preserve"> reprosoustavy bude možné integrovat do systému umělého dozvuku, který investor zvažuje v budoucnu instalovat. </w:t>
      </w:r>
    </w:p>
    <w:p w14:paraId="3DB9531F" w14:textId="77777777" w:rsidR="00291803" w:rsidRPr="00BA3688" w:rsidRDefault="00291803" w:rsidP="00291803">
      <w:pPr>
        <w:pStyle w:val="Nadpis3"/>
        <w:numPr>
          <w:ilvl w:val="2"/>
          <w:numId w:val="0"/>
        </w:numPr>
        <w:tabs>
          <w:tab w:val="num" w:pos="360"/>
        </w:tabs>
      </w:pPr>
      <w:bookmarkStart w:id="6" w:name="_Toc210172469"/>
      <w:r w:rsidRPr="00BA3688">
        <w:t>Odposlechové reprosoustavy</w:t>
      </w:r>
      <w:bookmarkEnd w:id="6"/>
      <w:r w:rsidRPr="00BA3688">
        <w:t xml:space="preserve"> </w:t>
      </w:r>
    </w:p>
    <w:p w14:paraId="09B6989E" w14:textId="77777777" w:rsidR="00291803" w:rsidRPr="00BC214A" w:rsidRDefault="00291803" w:rsidP="00291803">
      <w:pPr>
        <w:spacing w:before="120"/>
      </w:pPr>
      <w:r w:rsidRPr="00BA3688">
        <w:t>Samostatnou částí navrhovaného výkonového ozvučení je monitorový systém, zajišťující odposlech pro účinkující na jevišti. Tento systém se skládá ze čtyř párů odposlechových reprosoustav umístěných v prostoru jeviště.</w:t>
      </w:r>
    </w:p>
    <w:p w14:paraId="3D099C65" w14:textId="77777777" w:rsidR="00291803" w:rsidRPr="00BA3688" w:rsidRDefault="00291803" w:rsidP="00291803">
      <w:pPr>
        <w:pStyle w:val="Nadpis3"/>
      </w:pPr>
      <w:bookmarkStart w:id="7" w:name="_Toc210172467"/>
      <w:r w:rsidRPr="00BA3688">
        <w:t xml:space="preserve">Technologické </w:t>
      </w:r>
      <w:bookmarkEnd w:id="7"/>
      <w:r w:rsidRPr="00BA3688">
        <w:t>stojany</w:t>
      </w:r>
    </w:p>
    <w:p w14:paraId="6766317C" w14:textId="34C1B4F8" w:rsidR="00291803" w:rsidRDefault="00291803" w:rsidP="00291803">
      <w:r w:rsidRPr="00BA3688">
        <w:t>V 2.NP, v technologickém prostoru vedle portálového okna bude umístěn technologický stojan</w:t>
      </w:r>
      <w:r>
        <w:t xml:space="preserve"> TS2.01</w:t>
      </w:r>
      <w:r w:rsidRPr="00BA3688">
        <w:t xml:space="preserve">, do kterého jsou svedeny a zakončeny reproduktorové kabely od jednotlivých reproduktorů. </w:t>
      </w:r>
      <w:r>
        <w:t>Technologický stojan</w:t>
      </w:r>
    </w:p>
    <w:p w14:paraId="502B87BD" w14:textId="77777777" w:rsidR="00291803" w:rsidRDefault="00291803" w:rsidP="00291803"/>
    <w:p w14:paraId="61A62FFE" w14:textId="77777777" w:rsidR="00291803" w:rsidRDefault="00291803" w:rsidP="00291803"/>
    <w:p w14:paraId="7A1AE074" w14:textId="77777777" w:rsidR="00291803" w:rsidRDefault="00291803" w:rsidP="00291803"/>
    <w:p w14:paraId="3CA3B03A" w14:textId="77777777" w:rsidR="00291803" w:rsidRDefault="00291803" w:rsidP="00291803">
      <w:r>
        <w:lastRenderedPageBreak/>
        <w:t>bude osazen</w:t>
      </w:r>
      <w:r w:rsidRPr="00BA3688">
        <w:t xml:space="preserve"> potřebným počtem zesilovačů pro výkonové ozvučení a dalšími potřebnými komponenty pro systém ozvučení</w:t>
      </w:r>
      <w:r>
        <w:t xml:space="preserve">, například datovými přepínači, převodníky, datovými přepojovači apod. </w:t>
      </w:r>
    </w:p>
    <w:p w14:paraId="6EAC7DD4" w14:textId="77777777" w:rsidR="00291803" w:rsidRDefault="00291803" w:rsidP="00291803">
      <w:r>
        <w:t xml:space="preserve">Druhý technologický stojan TS2.02 bude umístěn v kabině zvukařů ve 2.NP, kde budou zakončeny datové kabely z jednotlivých přípojných míst. V technologickém stojanu budou umístěny datové přepínače zajišťující distribuci Dante sítě a kontrolní sítě mezi pracovištěm zvukaře, přípojnými místy a zesilovači zvukového systému. </w:t>
      </w:r>
    </w:p>
    <w:p w14:paraId="6A642945" w14:textId="77777777" w:rsidR="00291803" w:rsidRDefault="00291803" w:rsidP="00291803">
      <w:pPr>
        <w:pStyle w:val="Nadpis3"/>
      </w:pPr>
      <w:r>
        <w:t>Dodávka a montáž</w:t>
      </w:r>
    </w:p>
    <w:p w14:paraId="1F9034A1" w14:textId="77777777" w:rsidR="00291803" w:rsidRDefault="00291803" w:rsidP="00291803">
      <w:r w:rsidRPr="00156BBC">
        <w:rPr>
          <w:noProof/>
        </w:rPr>
        <w:drawing>
          <wp:anchor distT="0" distB="0" distL="114300" distR="114300" simplePos="0" relativeHeight="251664384" behindDoc="0" locked="0" layoutInCell="1" allowOverlap="1" wp14:anchorId="7AFF9F33" wp14:editId="739FC69C">
            <wp:simplePos x="0" y="0"/>
            <wp:positionH relativeFrom="column">
              <wp:posOffset>3214226</wp:posOffset>
            </wp:positionH>
            <wp:positionV relativeFrom="paragraph">
              <wp:posOffset>805574</wp:posOffset>
            </wp:positionV>
            <wp:extent cx="2776855" cy="2533650"/>
            <wp:effectExtent l="0" t="0" r="4445" b="0"/>
            <wp:wrapTopAndBottom/>
            <wp:docPr id="34091912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1912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14" t="20196" r="5115" b="19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BBC">
        <w:rPr>
          <w:noProof/>
        </w:rPr>
        <w:drawing>
          <wp:anchor distT="0" distB="0" distL="114300" distR="114300" simplePos="0" relativeHeight="251663360" behindDoc="0" locked="0" layoutInCell="1" allowOverlap="1" wp14:anchorId="6C625656" wp14:editId="4ABDEFA7">
            <wp:simplePos x="0" y="0"/>
            <wp:positionH relativeFrom="column">
              <wp:posOffset>470953</wp:posOffset>
            </wp:positionH>
            <wp:positionV relativeFrom="paragraph">
              <wp:posOffset>818274</wp:posOffset>
            </wp:positionV>
            <wp:extent cx="2731135" cy="2534285"/>
            <wp:effectExtent l="0" t="0" r="0" b="0"/>
            <wp:wrapTopAndBottom/>
            <wp:docPr id="6017937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793719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0" t="15884" r="5135" b="19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2534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Součástí realizace je dodávka a montáž všech prvků ozvučovacího systému a souvisejících periferií včetně uvedení systému do provozu a kalibrace systému pro dosažení optimálního pokrytí hlediště akustickým tlakem. </w:t>
      </w:r>
    </w:p>
    <w:p w14:paraId="7A3FC1ED" w14:textId="77777777" w:rsidR="00291803" w:rsidRPr="004D05AD" w:rsidRDefault="00291803" w:rsidP="00291803">
      <w:pPr>
        <w:jc w:val="center"/>
      </w:pPr>
      <w:r w:rsidRPr="00BA1C0A">
        <w:rPr>
          <w:i/>
          <w:iCs/>
        </w:rPr>
        <w:t xml:space="preserve">Obrázek </w:t>
      </w:r>
      <w:r>
        <w:rPr>
          <w:i/>
          <w:iCs/>
        </w:rPr>
        <w:t>3</w:t>
      </w:r>
      <w:r w:rsidRPr="00BA1C0A">
        <w:rPr>
          <w:i/>
          <w:iCs/>
        </w:rPr>
        <w:t xml:space="preserve">: Elektroakustická simulace pokrytí </w:t>
      </w:r>
      <w:r>
        <w:rPr>
          <w:i/>
          <w:iCs/>
        </w:rPr>
        <w:t>jeviště</w:t>
      </w:r>
      <w:r w:rsidRPr="00BA1C0A">
        <w:rPr>
          <w:i/>
          <w:iCs/>
        </w:rPr>
        <w:t xml:space="preserve"> signálem </w:t>
      </w:r>
      <w:r>
        <w:rPr>
          <w:i/>
          <w:iCs/>
        </w:rPr>
        <w:t>odposlechových reprosoustav (pokrytí předních odposlechových reprosoustav vlevo, prostředních odposlechových reprosoustav vpravo)</w:t>
      </w:r>
      <w:r w:rsidRPr="00BA1C0A">
        <w:rPr>
          <w:i/>
          <w:iCs/>
        </w:rPr>
        <w:t xml:space="preserve">. Frekvenční rozsah signálu </w:t>
      </w:r>
      <w:r>
        <w:rPr>
          <w:i/>
          <w:iCs/>
        </w:rPr>
        <w:t>4</w:t>
      </w:r>
      <w:r w:rsidRPr="00BA1C0A">
        <w:rPr>
          <w:i/>
          <w:iCs/>
        </w:rPr>
        <w:t xml:space="preserve"> </w:t>
      </w:r>
      <w:r>
        <w:rPr>
          <w:i/>
          <w:iCs/>
        </w:rPr>
        <w:t>k</w:t>
      </w:r>
      <w:r w:rsidRPr="00BA1C0A">
        <w:rPr>
          <w:i/>
          <w:iCs/>
        </w:rPr>
        <w:t xml:space="preserve">Hz – </w:t>
      </w:r>
      <w:r>
        <w:rPr>
          <w:i/>
          <w:iCs/>
        </w:rPr>
        <w:t>5</w:t>
      </w:r>
      <w:r w:rsidRPr="00BA1C0A">
        <w:rPr>
          <w:i/>
          <w:iCs/>
        </w:rPr>
        <w:t xml:space="preserve"> </w:t>
      </w:r>
      <w:r>
        <w:rPr>
          <w:i/>
          <w:iCs/>
        </w:rPr>
        <w:t>kH</w:t>
      </w:r>
      <w:r w:rsidRPr="00BA1C0A">
        <w:rPr>
          <w:i/>
          <w:iCs/>
        </w:rPr>
        <w:t>z</w:t>
      </w:r>
      <w:r>
        <w:rPr>
          <w:i/>
          <w:iCs/>
        </w:rPr>
        <w:t>,</w:t>
      </w:r>
      <w:r w:rsidRPr="00BA1C0A">
        <w:rPr>
          <w:i/>
          <w:iCs/>
        </w:rPr>
        <w:t xml:space="preserve"> 3</w:t>
      </w:r>
      <w:r>
        <w:rPr>
          <w:i/>
          <w:iCs/>
        </w:rPr>
        <w:t xml:space="preserve"> </w:t>
      </w:r>
      <w:r w:rsidRPr="00BA1C0A">
        <w:rPr>
          <w:i/>
          <w:iCs/>
        </w:rPr>
        <w:t>dB/barva</w:t>
      </w:r>
      <w:r>
        <w:rPr>
          <w:i/>
          <w:iCs/>
        </w:rPr>
        <w:t>.</w:t>
      </w:r>
    </w:p>
    <w:p w14:paraId="4AC842B8" w14:textId="77777777" w:rsidR="00291803" w:rsidRDefault="00291803" w:rsidP="00291803"/>
    <w:p w14:paraId="213A76F8" w14:textId="77777777" w:rsidR="00291803" w:rsidRDefault="00291803" w:rsidP="00291803"/>
    <w:p w14:paraId="2FE14161" w14:textId="77777777" w:rsidR="00291803" w:rsidRDefault="00291803" w:rsidP="00291803"/>
    <w:p w14:paraId="69514824" w14:textId="77777777" w:rsidR="00291803" w:rsidRDefault="00291803" w:rsidP="00291803"/>
    <w:p w14:paraId="14F1E986" w14:textId="77777777" w:rsidR="00291803" w:rsidRDefault="00291803" w:rsidP="00291803"/>
    <w:p w14:paraId="36A8DD4E" w14:textId="77777777" w:rsidR="00291803" w:rsidRDefault="00291803" w:rsidP="00291803"/>
    <w:p w14:paraId="10D3700A" w14:textId="77777777" w:rsidR="00291803" w:rsidRDefault="00291803" w:rsidP="00291803"/>
    <w:p w14:paraId="6B926E6D" w14:textId="77777777" w:rsidR="00291803" w:rsidRDefault="00291803" w:rsidP="00291803"/>
    <w:p w14:paraId="5E6C9466" w14:textId="77777777" w:rsidR="00291803" w:rsidRPr="0054483C" w:rsidRDefault="00291803" w:rsidP="00291803">
      <w:pPr>
        <w:pStyle w:val="Nadpis1"/>
        <w:ind w:left="340" w:hanging="340"/>
      </w:pPr>
      <w:r w:rsidRPr="0054483C">
        <w:lastRenderedPageBreak/>
        <w:t>Rozvody a kabelové trasy</w:t>
      </w:r>
    </w:p>
    <w:p w14:paraId="068608EA" w14:textId="77777777" w:rsidR="00291803" w:rsidRPr="0054483C" w:rsidRDefault="00291803" w:rsidP="00291803">
      <w:pPr>
        <w:rPr>
          <w:lang w:eastAsia="ar-SA"/>
        </w:rPr>
      </w:pPr>
      <w:r w:rsidRPr="0054483C">
        <w:t>Veškerá nově instalovaná kabeláž musí odpovídat příslušným normám. Dispozice a navrhované vedení kabelových tras nových rozvodů je uvedena ve výkresové části dokumentace.</w:t>
      </w:r>
    </w:p>
    <w:p w14:paraId="5F10B626" w14:textId="77777777" w:rsidR="00291803" w:rsidRPr="00555E98" w:rsidRDefault="00291803" w:rsidP="00291803">
      <w:pPr>
        <w:pStyle w:val="Nadpis2"/>
      </w:pPr>
      <w:bookmarkStart w:id="8" w:name="_Toc210172478"/>
      <w:r w:rsidRPr="00555E98">
        <w:t>Přípojná místa</w:t>
      </w:r>
      <w:bookmarkEnd w:id="8"/>
    </w:p>
    <w:p w14:paraId="1F28B20A" w14:textId="77777777" w:rsidR="00291803" w:rsidRDefault="00291803" w:rsidP="00291803">
      <w:r w:rsidRPr="00555E98">
        <w:t>V prostoru jeviště a orchestřiště budou vytvořena přípojná místa s primárně datovou konektivitou pro připojení periferií zvukového systému do zvukové sítě.</w:t>
      </w:r>
      <w:r>
        <w:t xml:space="preserve"> Dvě přípojná místa budou umístěna na forbíně, dvě přípojná místa budou umístěna po stranách portálového okna, jedno na zadním jevišti, jedno u pracoviště </w:t>
      </w:r>
      <w:proofErr w:type="spellStart"/>
      <w:r>
        <w:t>portaře</w:t>
      </w:r>
      <w:proofErr w:type="spellEnd"/>
      <w:r>
        <w:t xml:space="preserve"> a jedno v orchestřišti. </w:t>
      </w:r>
    </w:p>
    <w:p w14:paraId="7742E220" w14:textId="77777777" w:rsidR="00291803" w:rsidRDefault="00291803" w:rsidP="00291803">
      <w:r>
        <w:t xml:space="preserve">Pozice přípojných míst je vyznačena ve výkresové části dokumentace. </w:t>
      </w:r>
    </w:p>
    <w:p w14:paraId="5BE9E42D" w14:textId="77777777" w:rsidR="00291803" w:rsidRPr="00555E98" w:rsidRDefault="00291803" w:rsidP="00291803">
      <w:r>
        <w:t xml:space="preserve">Při realizaci musí být dodána podrobná výrobní dokumentace přípojných míst ke schválení investorovi. </w:t>
      </w:r>
    </w:p>
    <w:p w14:paraId="36E38A9C" w14:textId="77777777" w:rsidR="00291803" w:rsidRDefault="00291803" w:rsidP="00291803">
      <w:pPr>
        <w:widowControl w:val="0"/>
        <w:spacing w:before="0" w:line="240" w:lineRule="auto"/>
        <w:jc w:val="left"/>
        <w:rPr>
          <w:sz w:val="28"/>
          <w:szCs w:val="28"/>
        </w:rPr>
      </w:pPr>
      <w:r>
        <w:br w:type="page"/>
      </w:r>
    </w:p>
    <w:p w14:paraId="71BDA325" w14:textId="77777777" w:rsidR="00291803" w:rsidRPr="00F94B82" w:rsidRDefault="00291803" w:rsidP="00291803">
      <w:pPr>
        <w:pStyle w:val="Nadpis1"/>
        <w:ind w:left="340" w:hanging="340"/>
      </w:pPr>
      <w:r w:rsidRPr="00F94B82">
        <w:lastRenderedPageBreak/>
        <w:t>Závěr</w:t>
      </w:r>
    </w:p>
    <w:p w14:paraId="1328A640" w14:textId="77777777" w:rsidR="00291803" w:rsidRPr="00F94B82" w:rsidRDefault="00291803" w:rsidP="00291803">
      <w:r w:rsidRPr="00F94B82">
        <w:t>Tento text popisuje návrh systému hlavního ozvučení Činoherní scény Městského divadla Brno.</w:t>
      </w:r>
    </w:p>
    <w:p w14:paraId="197E96A1" w14:textId="77777777" w:rsidR="00291803" w:rsidRPr="00F94B82" w:rsidRDefault="00291803" w:rsidP="00291803">
      <w:r w:rsidRPr="00F94B82">
        <w:t xml:space="preserve">Nedílnou součástí projektu je výkresová dokumentace, která obsahuje konkrétní rozmístění všech prvků tohoto systému v řešeném prostoru a také související kabelové trasy. </w:t>
      </w:r>
    </w:p>
    <w:p w14:paraId="28656CDD" w14:textId="77777777" w:rsidR="00291803" w:rsidRPr="00F94B82" w:rsidRDefault="00291803" w:rsidP="00291803">
      <w:r w:rsidRPr="00F94B82">
        <w:t>Dokumentace jako celek ani její jednotlivé části nelze šířit elektronicky ani v tištěné formě bez souhlasu jejích autorů, neboť obsah podléhá autorskému zákonu.</w:t>
      </w:r>
    </w:p>
    <w:p w14:paraId="560E33F9" w14:textId="77777777" w:rsidR="00291803" w:rsidRDefault="00291803" w:rsidP="00291803">
      <w:pPr>
        <w:spacing w:before="120"/>
      </w:pPr>
      <w:r w:rsidRPr="00F94B82">
        <w:t>Mají-li být bezezbytku garantovány veškeré funkce navržené v této projektové dokumentaci, musí být jakákoliv změna vyvolaná investorem či třetími stranami před jejím schválením konzultována s projektantem.</w:t>
      </w:r>
    </w:p>
    <w:p w14:paraId="70C29EAF" w14:textId="77777777" w:rsidR="00291803" w:rsidRDefault="00291803" w:rsidP="00291803"/>
    <w:sectPr w:rsidR="002918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F3E78"/>
    <w:multiLevelType w:val="hybridMultilevel"/>
    <w:tmpl w:val="AFB09D7E"/>
    <w:lvl w:ilvl="0" w:tplc="72D834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61695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E7"/>
    <w:rsid w:val="00291803"/>
    <w:rsid w:val="004F6A7E"/>
    <w:rsid w:val="00731C0E"/>
    <w:rsid w:val="008E70E7"/>
    <w:rsid w:val="00CF5EB4"/>
    <w:rsid w:val="00D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E104F"/>
  <w15:chartTrackingRefBased/>
  <w15:docId w15:val="{787FFB2B-1436-4BF3-81FB-37BF135EE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Text"/>
    <w:qFormat/>
    <w:rsid w:val="008E70E7"/>
    <w:pPr>
      <w:autoSpaceDE w:val="0"/>
      <w:autoSpaceDN w:val="0"/>
      <w:spacing w:before="240" w:after="0" w:line="320" w:lineRule="exact"/>
      <w:jc w:val="both"/>
    </w:pPr>
    <w:rPr>
      <w:rFonts w:ascii="Roboto" w:eastAsia="Roboto Light" w:hAnsi="Roboto" w:cs="Roboto Light"/>
      <w:kern w:val="0"/>
      <w:sz w:val="20"/>
      <w:lang w:eastAsia="cs-CZ" w:bidi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E7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E7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E70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7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70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70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70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70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70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E70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70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70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70E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70E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70E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E70E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70E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70E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E7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E7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E7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E7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E7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E70E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E70E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E70E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E70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E70E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E70E7"/>
    <w:rPr>
      <w:b/>
      <w:bCs/>
      <w:smallCaps/>
      <w:color w:val="2F5496" w:themeColor="accent1" w:themeShade="BF"/>
      <w:spacing w:val="5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8E70E7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8E70E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8E70E7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8E70E7"/>
    <w:rPr>
      <w:color w:val="0563C1" w:themeColor="hyperlink"/>
      <w:u w:val="single"/>
    </w:rPr>
  </w:style>
  <w:style w:type="paragraph" w:customStyle="1" w:styleId="Obsah">
    <w:name w:val="Obsah"/>
    <w:basedOn w:val="Obsah1"/>
    <w:link w:val="ObsahChar"/>
    <w:uiPriority w:val="1"/>
    <w:rsid w:val="008E70E7"/>
    <w:pPr>
      <w:tabs>
        <w:tab w:val="left" w:pos="440"/>
        <w:tab w:val="right" w:leader="dot" w:pos="9780"/>
      </w:tabs>
    </w:pPr>
    <w:rPr>
      <w:noProof/>
    </w:rPr>
  </w:style>
  <w:style w:type="character" w:customStyle="1" w:styleId="Obsah1Char">
    <w:name w:val="Obsah 1 Char"/>
    <w:basedOn w:val="Standardnpsmoodstavce"/>
    <w:link w:val="Obsah1"/>
    <w:uiPriority w:val="39"/>
    <w:rsid w:val="008E70E7"/>
    <w:rPr>
      <w:rFonts w:ascii="Roboto" w:eastAsia="Roboto Light" w:hAnsi="Roboto" w:cs="Roboto Light"/>
      <w:kern w:val="0"/>
      <w:sz w:val="20"/>
      <w:lang w:eastAsia="cs-CZ" w:bidi="cs-CZ"/>
      <w14:ligatures w14:val="none"/>
    </w:rPr>
  </w:style>
  <w:style w:type="character" w:customStyle="1" w:styleId="ObsahChar">
    <w:name w:val="Obsah Char"/>
    <w:basedOn w:val="Obsah1Char"/>
    <w:link w:val="Obsah"/>
    <w:uiPriority w:val="1"/>
    <w:rsid w:val="008E70E7"/>
    <w:rPr>
      <w:rFonts w:ascii="Roboto" w:eastAsia="Roboto Light" w:hAnsi="Roboto" w:cs="Roboto Light"/>
      <w:noProof/>
      <w:kern w:val="0"/>
      <w:sz w:val="20"/>
      <w:lang w:eastAsia="cs-CZ" w:bidi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1328</Words>
  <Characters>7841</Characters>
  <Application>Microsoft Office Word</Application>
  <DocSecurity>0</DocSecurity>
  <Lines>65</Lines>
  <Paragraphs>18</Paragraphs>
  <ScaleCrop>false</ScaleCrop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Bayer</dc:creator>
  <cp:keywords/>
  <dc:description/>
  <cp:lastModifiedBy>Miroslav Bayer</cp:lastModifiedBy>
  <cp:revision>2</cp:revision>
  <dcterms:created xsi:type="dcterms:W3CDTF">2026-02-11T09:47:00Z</dcterms:created>
  <dcterms:modified xsi:type="dcterms:W3CDTF">2026-02-11T09:56:00Z</dcterms:modified>
</cp:coreProperties>
</file>